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C1" w:rsidRDefault="007255C1" w:rsidP="007255C1">
      <w:pPr>
        <w:pStyle w:val="a3"/>
      </w:pPr>
      <w:r>
        <w:t>Лекция № 14</w:t>
      </w:r>
    </w:p>
    <w:p w:rsidR="007255C1" w:rsidRDefault="007255C1" w:rsidP="007255C1">
      <w:pPr>
        <w:jc w:val="center"/>
        <w:rPr>
          <w:sz w:val="28"/>
        </w:rPr>
      </w:pPr>
    </w:p>
    <w:p w:rsidR="007255C1" w:rsidRDefault="007255C1" w:rsidP="007255C1">
      <w:pPr>
        <w:pStyle w:val="a7"/>
      </w:pPr>
      <w:r>
        <w:t xml:space="preserve">Баланс </w:t>
      </w:r>
      <w:proofErr w:type="spellStart"/>
      <w:r>
        <w:t>мощностей</w:t>
      </w:r>
      <w:proofErr w:type="spellEnd"/>
      <w:r>
        <w:t xml:space="preserve"> в </w:t>
      </w:r>
      <w:proofErr w:type="spellStart"/>
      <w:r>
        <w:t>энергосистеме</w:t>
      </w:r>
      <w:proofErr w:type="spellEnd"/>
    </w:p>
    <w:p w:rsidR="007255C1" w:rsidRDefault="007255C1" w:rsidP="007255C1">
      <w:pPr>
        <w:pStyle w:val="a7"/>
        <w:rPr>
          <w:b w:val="0"/>
          <w:i w:val="0"/>
        </w:rPr>
      </w:pPr>
    </w:p>
    <w:p w:rsidR="007255C1" w:rsidRDefault="007255C1" w:rsidP="007255C1">
      <w:pPr>
        <w:pStyle w:val="a5"/>
      </w:pPr>
      <w:r>
        <w:t xml:space="preserve">Передача </w:t>
      </w:r>
      <w:proofErr w:type="spellStart"/>
      <w:r>
        <w:t>электроэнергии</w:t>
      </w:r>
      <w:proofErr w:type="spellEnd"/>
      <w:r>
        <w:t xml:space="preserve"> по ЛЭП </w:t>
      </w:r>
      <w:proofErr w:type="spellStart"/>
      <w:r>
        <w:t>электромагнитными</w:t>
      </w:r>
      <w:proofErr w:type="spellEnd"/>
      <w:r>
        <w:t xml:space="preserve"> </w:t>
      </w:r>
      <w:proofErr w:type="spellStart"/>
      <w:r>
        <w:t>волнами</w:t>
      </w:r>
      <w:proofErr w:type="spellEnd"/>
      <w:r>
        <w:t xml:space="preserve"> </w:t>
      </w:r>
      <w:proofErr w:type="spellStart"/>
      <w:r>
        <w:t>осуществ-ляется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скоростью</w:t>
      </w:r>
      <w:proofErr w:type="spellEnd"/>
      <w:r>
        <w:t xml:space="preserve">, </w:t>
      </w:r>
      <w:proofErr w:type="spellStart"/>
      <w:r>
        <w:t>близкой</w:t>
      </w:r>
      <w:proofErr w:type="spellEnd"/>
      <w:r>
        <w:t xml:space="preserve"> к </w:t>
      </w:r>
      <w:proofErr w:type="spellStart"/>
      <w:r>
        <w:t>скорости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мгнолвенно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приводит</w:t>
      </w:r>
      <w:proofErr w:type="spellEnd"/>
      <w:r>
        <w:t xml:space="preserve"> к тому,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, </w:t>
      </w:r>
      <w:proofErr w:type="spellStart"/>
      <w:r>
        <w:t>распределение</w:t>
      </w:r>
      <w:proofErr w:type="spellEnd"/>
      <w:r>
        <w:t xml:space="preserve"> и </w:t>
      </w:r>
      <w:proofErr w:type="spellStart"/>
      <w:r>
        <w:t>потребление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</w:t>
      </w:r>
      <w:proofErr w:type="spellStart"/>
      <w:r>
        <w:t>происходит</w:t>
      </w:r>
      <w:proofErr w:type="spellEnd"/>
      <w:r>
        <w:t xml:space="preserve"> </w:t>
      </w:r>
      <w:proofErr w:type="spellStart"/>
      <w:r>
        <w:t>одновременно</w:t>
      </w:r>
      <w:proofErr w:type="spellEnd"/>
      <w:r>
        <w:t xml:space="preserve">. </w:t>
      </w:r>
      <w:proofErr w:type="spellStart"/>
      <w:r>
        <w:t>Поэтому</w:t>
      </w:r>
      <w:proofErr w:type="spellEnd"/>
      <w:r>
        <w:t xml:space="preserve"> в </w:t>
      </w:r>
      <w:proofErr w:type="spellStart"/>
      <w:r>
        <w:t>любой</w:t>
      </w:r>
      <w:proofErr w:type="spellEnd"/>
      <w:r>
        <w:t xml:space="preserve"> момент </w:t>
      </w:r>
      <w:proofErr w:type="spellStart"/>
      <w:r>
        <w:t>времени</w:t>
      </w:r>
      <w:proofErr w:type="spellEnd"/>
      <w:r>
        <w:t xml:space="preserve"> </w:t>
      </w:r>
      <w:proofErr w:type="spellStart"/>
      <w:r>
        <w:t>установившегося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вырабатывать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, </w:t>
      </w:r>
      <w:proofErr w:type="spellStart"/>
      <w:r>
        <w:t>равную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потребите-лей</w:t>
      </w:r>
      <w:proofErr w:type="spellEnd"/>
      <w:r>
        <w:t xml:space="preserve"> и </w:t>
      </w:r>
      <w:proofErr w:type="spellStart"/>
      <w:r>
        <w:t>потерям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элементах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. Другими словами, в </w:t>
      </w:r>
      <w:proofErr w:type="spellStart"/>
      <w:r>
        <w:t>энергосистеме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иметь</w:t>
      </w:r>
      <w:proofErr w:type="spellEnd"/>
      <w:r>
        <w:t xml:space="preserve"> баланс </w:t>
      </w:r>
      <w:proofErr w:type="spellStart"/>
      <w:r>
        <w:t>выдаваемой</w:t>
      </w:r>
      <w:proofErr w:type="spellEnd"/>
      <w:r>
        <w:t xml:space="preserve"> и </w:t>
      </w:r>
      <w:proofErr w:type="spellStart"/>
      <w:r>
        <w:t>потребляемой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>:</w:t>
      </w:r>
    </w:p>
    <w:p w:rsidR="007255C1" w:rsidRDefault="007255C1" w:rsidP="007255C1">
      <w:pPr>
        <w:pStyle w:val="a5"/>
      </w:pPr>
    </w:p>
    <w:p w:rsidR="007255C1" w:rsidRDefault="007255C1" w:rsidP="007255C1">
      <w:pPr>
        <w:pStyle w:val="a5"/>
        <w:jc w:val="center"/>
      </w:pPr>
      <w:r>
        <w:rPr>
          <w:position w:val="-12"/>
        </w:rPr>
        <w:object w:dxaOrig="3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8.75pt" o:ole="" fillcolor="window">
            <v:imagedata r:id="rId5" o:title=""/>
          </v:shape>
          <o:OLEObject Type="Embed" ProgID="Equation.3" ShapeID="_x0000_i1025" DrawAspect="Content" ObjectID="_1634144892" r:id="rId6"/>
        </w:object>
      </w:r>
    </w:p>
    <w:p w:rsidR="007255C1" w:rsidRDefault="007255C1" w:rsidP="007255C1">
      <w:pPr>
        <w:pStyle w:val="a5"/>
        <w:jc w:val="right"/>
      </w:pPr>
      <w:r>
        <w:t>(14.1)</w:t>
      </w:r>
    </w:p>
    <w:p w:rsidR="007255C1" w:rsidRDefault="007255C1" w:rsidP="007255C1">
      <w:pPr>
        <w:pStyle w:val="a5"/>
        <w:jc w:val="center"/>
      </w:pPr>
      <w:r>
        <w:rPr>
          <w:position w:val="-12"/>
        </w:rPr>
        <w:object w:dxaOrig="3320" w:dyaOrig="380">
          <v:shape id="_x0000_i1026" type="#_x0000_t75" style="width:165.75pt;height:18.75pt" o:ole="" fillcolor="window">
            <v:imagedata r:id="rId7" o:title=""/>
          </v:shape>
          <o:OLEObject Type="Embed" ProgID="Equation.3" ShapeID="_x0000_i1026" DrawAspect="Content" ObjectID="_1634144893" r:id="rId8"/>
        </w:object>
      </w:r>
      <w:r>
        <w:t>,</w:t>
      </w:r>
    </w:p>
    <w:p w:rsidR="007255C1" w:rsidRDefault="007255C1" w:rsidP="007255C1">
      <w:pPr>
        <w:pStyle w:val="a5"/>
        <w:jc w:val="center"/>
      </w:pPr>
    </w:p>
    <w:p w:rsidR="007255C1" w:rsidRDefault="007255C1" w:rsidP="007255C1">
      <w:pPr>
        <w:pStyle w:val="a5"/>
      </w:pPr>
      <w:r>
        <w:rPr>
          <w:lang w:val="ru-RU"/>
        </w:rPr>
        <w:t xml:space="preserve">где </w:t>
      </w:r>
      <w:r>
        <w:rPr>
          <w:position w:val="-12"/>
        </w:rPr>
        <w:object w:dxaOrig="840" w:dyaOrig="380">
          <v:shape id="_x0000_i1027" type="#_x0000_t75" style="width:42pt;height:18.75pt" o:ole="" fillcolor="window">
            <v:imagedata r:id="rId9" o:title=""/>
          </v:shape>
          <o:OLEObject Type="Embed" ProgID="Equation.3" ShapeID="_x0000_i1027" DrawAspect="Content" ObjectID="_1634144894" r:id="rId10"/>
        </w:object>
      </w:r>
      <w:proofErr w:type="spellStart"/>
      <w:r>
        <w:t>активная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вырабатывается</w:t>
      </w:r>
      <w:proofErr w:type="spellEnd"/>
      <w:r>
        <w:t xml:space="preserve"> генераторами </w:t>
      </w:r>
      <w:proofErr w:type="spellStart"/>
      <w:r>
        <w:t>электростанций</w:t>
      </w:r>
      <w:proofErr w:type="spellEnd"/>
      <w:r>
        <w:t xml:space="preserve"> за </w:t>
      </w:r>
      <w:proofErr w:type="spellStart"/>
      <w:r>
        <w:t>вычетом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, </w:t>
      </w:r>
      <w:proofErr w:type="spellStart"/>
      <w:r>
        <w:t>расходуемой</w:t>
      </w:r>
      <w:proofErr w:type="spellEnd"/>
      <w:r>
        <w:t xml:space="preserve"> на </w:t>
      </w:r>
      <w:proofErr w:type="spellStart"/>
      <w:r>
        <w:t>собственные</w:t>
      </w:r>
      <w:proofErr w:type="spellEnd"/>
      <w:r>
        <w:t xml:space="preserve"> </w:t>
      </w:r>
      <w:proofErr w:type="spellStart"/>
      <w:r>
        <w:t>нужды</w:t>
      </w:r>
      <w:proofErr w:type="spellEnd"/>
      <w:r>
        <w:t xml:space="preserve"> </w:t>
      </w:r>
      <w:proofErr w:type="spellStart"/>
      <w:proofErr w:type="gramStart"/>
      <w:r>
        <w:t>элект-ростанций</w:t>
      </w:r>
      <w:proofErr w:type="spellEnd"/>
      <w:proofErr w:type="gramEnd"/>
      <w:r>
        <w:t>;</w:t>
      </w:r>
    </w:p>
    <w:p w:rsidR="007255C1" w:rsidRDefault="007255C1" w:rsidP="007255C1">
      <w:pPr>
        <w:pStyle w:val="a5"/>
        <w:ind w:firstLine="0"/>
      </w:pPr>
      <w:r>
        <w:rPr>
          <w:position w:val="-12"/>
        </w:rPr>
        <w:object w:dxaOrig="840" w:dyaOrig="380">
          <v:shape id="_x0000_i1028" type="#_x0000_t75" style="width:42pt;height:18.75pt" o:ole="" fillcolor="window">
            <v:imagedata r:id="rId11" o:title=""/>
          </v:shape>
          <o:OLEObject Type="Embed" ProgID="Equation.3" ShapeID="_x0000_i1028" DrawAspect="Content" ObjectID="_1634144895" r:id="rId12"/>
        </w:object>
      </w:r>
      <w:r>
        <w:rPr>
          <w:lang w:val="ru-RU"/>
        </w:rPr>
        <w:t xml:space="preserve">суммарная потребляемая активная мощность, которая складывается из мощности нагрузок </w:t>
      </w:r>
      <w:r>
        <w:rPr>
          <w:position w:val="-12"/>
        </w:rPr>
        <w:object w:dxaOrig="640" w:dyaOrig="380">
          <v:shape id="_x0000_i1029" type="#_x0000_t75" style="width:32.25pt;height:18.75pt" o:ole="" fillcolor="window">
            <v:imagedata r:id="rId13" o:title=""/>
          </v:shape>
          <o:OLEObject Type="Embed" ProgID="Equation.3" ShapeID="_x0000_i1029" DrawAspect="Content" ObjectID="_1634144896" r:id="rId14"/>
        </w:object>
      </w:r>
      <w:r>
        <w:t xml:space="preserve"> и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r>
        <w:rPr>
          <w:position w:val="-12"/>
        </w:rPr>
        <w:object w:dxaOrig="700" w:dyaOrig="380">
          <v:shape id="_x0000_i1030" type="#_x0000_t75" style="width:35.25pt;height:18.75pt" o:ole="" fillcolor="window">
            <v:imagedata r:id="rId15" o:title=""/>
          </v:shape>
          <o:OLEObject Type="Embed" ProgID="Equation.3" ShapeID="_x0000_i1030" DrawAspect="Content" ObjectID="_1634144897" r:id="rId16"/>
        </w:object>
      </w:r>
      <w:r>
        <w:t>;</w:t>
      </w:r>
    </w:p>
    <w:p w:rsidR="007255C1" w:rsidRDefault="007255C1" w:rsidP="007255C1">
      <w:pPr>
        <w:pStyle w:val="a5"/>
        <w:ind w:firstLine="0"/>
      </w:pPr>
      <w:r>
        <w:rPr>
          <w:position w:val="-12"/>
        </w:rPr>
        <w:object w:dxaOrig="880" w:dyaOrig="380">
          <v:shape id="_x0000_i1031" type="#_x0000_t75" style="width:44.25pt;height:18.75pt" o:ole="" fillcolor="window">
            <v:imagedata r:id="rId17" o:title=""/>
          </v:shape>
          <o:OLEObject Type="Embed" ProgID="Equation.3" ShapeID="_x0000_i1031" DrawAspect="Content" ObjectID="_1634144898" r:id="rId18"/>
        </w:object>
      </w:r>
      <w:proofErr w:type="spellStart"/>
      <w:r>
        <w:t>реактивная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вырабатывается</w:t>
      </w:r>
      <w:proofErr w:type="spellEnd"/>
      <w:r>
        <w:t xml:space="preserve"> генераторами </w:t>
      </w:r>
      <w:proofErr w:type="spellStart"/>
      <w:r>
        <w:t>электростан-ций</w:t>
      </w:r>
      <w:proofErr w:type="spellEnd"/>
      <w:r>
        <w:t xml:space="preserve"> за </w:t>
      </w:r>
      <w:proofErr w:type="spellStart"/>
      <w:r>
        <w:t>вычетом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, </w:t>
      </w:r>
      <w:proofErr w:type="spellStart"/>
      <w:r>
        <w:t>расходуемой</w:t>
      </w:r>
      <w:proofErr w:type="spellEnd"/>
      <w:r>
        <w:t xml:space="preserve"> на </w:t>
      </w:r>
      <w:proofErr w:type="spellStart"/>
      <w:r>
        <w:t>собственные</w:t>
      </w:r>
      <w:proofErr w:type="spellEnd"/>
      <w:r>
        <w:t xml:space="preserve"> </w:t>
      </w:r>
      <w:proofErr w:type="spellStart"/>
      <w:r>
        <w:t>нужды</w:t>
      </w:r>
      <w:proofErr w:type="spellEnd"/>
      <w:r>
        <w:t xml:space="preserve"> </w:t>
      </w:r>
      <w:proofErr w:type="spellStart"/>
      <w:r>
        <w:t>электростанций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реактивная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</w:t>
      </w:r>
      <w:proofErr w:type="spellStart"/>
      <w:r>
        <w:t>дополнительных</w:t>
      </w:r>
      <w:proofErr w:type="spellEnd"/>
      <w:r>
        <w:t xml:space="preserve"> </w:t>
      </w:r>
      <w:proofErr w:type="spellStart"/>
      <w:r>
        <w:t>источников</w:t>
      </w:r>
      <w:proofErr w:type="spellEnd"/>
      <w:r>
        <w:t xml:space="preserve">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>;</w:t>
      </w:r>
    </w:p>
    <w:p w:rsidR="007255C1" w:rsidRDefault="007255C1" w:rsidP="007255C1">
      <w:pPr>
        <w:pStyle w:val="a5"/>
        <w:ind w:firstLine="0"/>
        <w:rPr>
          <w:lang w:val="ru-RU"/>
        </w:rPr>
      </w:pPr>
      <w:r>
        <w:rPr>
          <w:position w:val="-12"/>
        </w:rPr>
        <w:object w:dxaOrig="900" w:dyaOrig="380">
          <v:shape id="_x0000_i1032" type="#_x0000_t75" style="width:45pt;height:18.75pt" o:ole="" fillcolor="window">
            <v:imagedata r:id="rId19" o:title=""/>
          </v:shape>
          <o:OLEObject Type="Embed" ProgID="Equation.3" ShapeID="_x0000_i1032" DrawAspect="Content" ObjectID="_1634144899" r:id="rId20"/>
        </w:object>
      </w:r>
      <w:r>
        <w:rPr>
          <w:lang w:val="ru-RU"/>
        </w:rPr>
        <w:t xml:space="preserve">суммарная потребляемая реактивная мощность, которая складывается из мощности нагрузок </w:t>
      </w:r>
      <w:r>
        <w:rPr>
          <w:position w:val="-12"/>
        </w:rPr>
        <w:object w:dxaOrig="680" w:dyaOrig="380">
          <v:shape id="_x0000_i1033" type="#_x0000_t75" style="width:33.75pt;height:18.75pt" o:ole="" fillcolor="window">
            <v:imagedata r:id="rId21" o:title=""/>
          </v:shape>
          <o:OLEObject Type="Embed" ProgID="Equation.3" ShapeID="_x0000_i1033" DrawAspect="Content" ObjectID="_1634144900" r:id="rId22"/>
        </w:object>
      </w:r>
      <w:r>
        <w:t xml:space="preserve"> и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r>
        <w:rPr>
          <w:position w:val="-12"/>
        </w:rPr>
        <w:object w:dxaOrig="740" w:dyaOrig="380">
          <v:shape id="_x0000_i1034" type="#_x0000_t75" style="width:36.75pt;height:18.75pt" o:ole="" fillcolor="window">
            <v:imagedata r:id="rId23" o:title=""/>
          </v:shape>
          <o:OLEObject Type="Embed" ProgID="Equation.3" ShapeID="_x0000_i1034" DrawAspect="Content" ObjectID="_1634144901" r:id="rId24"/>
        </w:object>
      </w:r>
      <w:r>
        <w:t>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Потери активной мощности включают в себя потери мощности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воздушных</w:t>
      </w:r>
      <w:proofErr w:type="gramEnd"/>
      <w:r>
        <w:rPr>
          <w:lang w:val="ru-RU"/>
        </w:rPr>
        <w:t xml:space="preserve"> и кабельных ЛЭП, электромагнитных аппаратов и устройств управления режимами системы.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Суммарные потери реактивной мощности – это алгебраическая сумма потерь мощности в сопротивлениях и проводимостях воздушных и кабельных ЛЭП, трансформаторах, мощности намагничивания и рассеяния электромагнитных аппаратов.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При неизменном составе нагрузок активная и реактивная мощность, потребляемая системой, является функцией частоты и напряжения на шинах потребителей. Баланс мощности в системе отвечает некоторым определенным значениям частоты и напряжения. При изменении их значений изменяются в той или иной степени правая и левая части уравнения баланса (100.1) и наоборот.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lastRenderedPageBreak/>
        <w:t xml:space="preserve">Количественную оценку изменения величин, входящих в уравнение баланса, можно выполнить по статическим характеристикам нагрузки (потребителей) </w:t>
      </w:r>
      <w:proofErr w:type="gramStart"/>
      <w:r>
        <w:rPr>
          <w:i/>
          <w:lang w:val="en-US"/>
        </w:rPr>
        <w:t>P</w:t>
      </w:r>
      <w:proofErr w:type="spellStart"/>
      <w:proofErr w:type="gramEnd"/>
      <w:r>
        <w:rPr>
          <w:vertAlign w:val="subscript"/>
          <w:lang w:val="ru-RU"/>
        </w:rPr>
        <w:t>п</w:t>
      </w:r>
      <w:proofErr w:type="spellEnd"/>
      <w:r>
        <w:rPr>
          <w:lang w:val="ru-RU"/>
        </w:rPr>
        <w:t xml:space="preserve"> и </w:t>
      </w:r>
      <w:r>
        <w:rPr>
          <w:i/>
          <w:lang w:val="en-US"/>
        </w:rPr>
        <w:t>Q</w:t>
      </w:r>
      <w:r>
        <w:rPr>
          <w:vertAlign w:val="subscript"/>
          <w:lang w:val="ru-RU"/>
        </w:rPr>
        <w:t>п</w:t>
      </w:r>
      <w:r>
        <w:rPr>
          <w:lang w:val="ru-RU"/>
        </w:rPr>
        <w:t>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Статические характеристики представляют собой зависимости потребляемой активной и реактивной мощностей от частоты и напряжения (</w:t>
      </w:r>
      <w:r>
        <w:rPr>
          <w:i/>
          <w:lang w:val="en-US"/>
        </w:rPr>
        <w:t>P</w:t>
      </w:r>
      <w:proofErr w:type="spellStart"/>
      <w:r>
        <w:rPr>
          <w:vertAlign w:val="subscript"/>
          <w:lang w:val="ru-RU"/>
        </w:rPr>
        <w:t>п</w:t>
      </w:r>
      <w:proofErr w:type="spellEnd"/>
      <w:r>
        <w:rPr>
          <w:lang w:val="ru-RU"/>
        </w:rPr>
        <w:t xml:space="preserve"> = </w:t>
      </w:r>
      <w:r>
        <w:rPr>
          <w:i/>
          <w:lang w:val="en-US"/>
        </w:rPr>
        <w:t>F</w:t>
      </w:r>
      <w:r>
        <w:rPr>
          <w:lang w:val="ru-RU"/>
        </w:rPr>
        <w:t xml:space="preserve"> (</w:t>
      </w:r>
      <w:r>
        <w:rPr>
          <w:i/>
          <w:lang w:val="ru-RU"/>
        </w:rPr>
        <w:t>U</w:t>
      </w:r>
      <w:r>
        <w:rPr>
          <w:lang w:val="ru-RU"/>
        </w:rPr>
        <w:t xml:space="preserve">), </w:t>
      </w:r>
      <w:r>
        <w:rPr>
          <w:i/>
          <w:lang w:val="en-US"/>
        </w:rPr>
        <w:t>P</w:t>
      </w:r>
      <w:proofErr w:type="spellStart"/>
      <w:r>
        <w:rPr>
          <w:vertAlign w:val="subscript"/>
          <w:lang w:val="ru-RU"/>
        </w:rPr>
        <w:t>п</w:t>
      </w:r>
      <w:proofErr w:type="spellEnd"/>
      <w:r>
        <w:rPr>
          <w:lang w:val="ru-RU"/>
        </w:rPr>
        <w:t xml:space="preserve"> = </w:t>
      </w:r>
      <w:r>
        <w:rPr>
          <w:i/>
          <w:lang w:val="en-US"/>
        </w:rPr>
        <w:t>F</w:t>
      </w:r>
      <w:r>
        <w:rPr>
          <w:lang w:val="ru-RU"/>
        </w:rPr>
        <w:t xml:space="preserve"> (</w:t>
      </w:r>
      <w:r>
        <w:rPr>
          <w:i/>
          <w:lang w:val="en-US"/>
        </w:rPr>
        <w:t>f</w:t>
      </w:r>
      <w:r>
        <w:rPr>
          <w:lang w:val="ru-RU"/>
        </w:rPr>
        <w:t xml:space="preserve">), </w:t>
      </w:r>
      <w:r>
        <w:rPr>
          <w:i/>
          <w:lang w:val="en-US"/>
        </w:rPr>
        <w:t>Q</w:t>
      </w:r>
      <w:proofErr w:type="spellStart"/>
      <w:r>
        <w:rPr>
          <w:vertAlign w:val="subscript"/>
          <w:lang w:val="ru-RU"/>
        </w:rPr>
        <w:t>п</w:t>
      </w:r>
      <w:proofErr w:type="spellEnd"/>
      <w:r>
        <w:rPr>
          <w:lang w:val="ru-RU"/>
        </w:rPr>
        <w:t xml:space="preserve"> = </w:t>
      </w:r>
      <w:r>
        <w:rPr>
          <w:i/>
          <w:lang w:val="en-US"/>
        </w:rPr>
        <w:t>F</w:t>
      </w:r>
      <w:r>
        <w:rPr>
          <w:lang w:val="ru-RU"/>
        </w:rPr>
        <w:t xml:space="preserve"> (</w:t>
      </w:r>
      <w:r>
        <w:rPr>
          <w:i/>
          <w:lang w:val="ru-RU"/>
        </w:rPr>
        <w:t>U</w:t>
      </w:r>
      <w:r>
        <w:rPr>
          <w:lang w:val="ru-RU"/>
        </w:rPr>
        <w:t xml:space="preserve">) и </w:t>
      </w:r>
      <w:r>
        <w:rPr>
          <w:i/>
          <w:lang w:val="en-US"/>
        </w:rPr>
        <w:t>Q</w:t>
      </w:r>
      <w:proofErr w:type="spellStart"/>
      <w:r>
        <w:rPr>
          <w:vertAlign w:val="subscript"/>
          <w:lang w:val="ru-RU"/>
        </w:rPr>
        <w:t>п</w:t>
      </w:r>
      <w:proofErr w:type="spellEnd"/>
      <w:r>
        <w:rPr>
          <w:lang w:val="ru-RU"/>
        </w:rPr>
        <w:t xml:space="preserve"> = </w:t>
      </w:r>
      <w:r>
        <w:rPr>
          <w:i/>
          <w:lang w:val="en-US"/>
        </w:rPr>
        <w:t>F</w:t>
      </w:r>
      <w:r>
        <w:rPr>
          <w:lang w:val="ru-RU"/>
        </w:rPr>
        <w:t xml:space="preserve"> (</w:t>
      </w:r>
      <w:r>
        <w:rPr>
          <w:i/>
          <w:lang w:val="en-US"/>
        </w:rPr>
        <w:t>f</w:t>
      </w:r>
      <w:r>
        <w:rPr>
          <w:lang w:val="ru-RU"/>
        </w:rPr>
        <w:t>)</w:t>
      </w:r>
      <w:proofErr w:type="gramStart"/>
      <w:r>
        <w:rPr>
          <w:lang w:val="ru-RU"/>
        </w:rPr>
        <w:t xml:space="preserve"> )</w:t>
      </w:r>
      <w:proofErr w:type="gramEnd"/>
      <w:r>
        <w:rPr>
          <w:lang w:val="ru-RU"/>
        </w:rPr>
        <w:t xml:space="preserve"> при таких малых их изменениях, что каждый новый режим может считаться установившимся. Они приведены на рис. 14.1.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rPr>
          <w:lang w:val="ru-RU"/>
        </w:rPr>
      </w:pPr>
      <w:r>
        <w:pict>
          <v:group id="_x0000_s1026" style="position:absolute;left:0;text-align:left;margin-left:29.9pt;margin-top:15.3pt;width:439.2pt;height:280.8pt;z-index:251658240" coordorigin="2016,4320" coordsize="8784,5616" o:allowincell="f">
            <v:group id="_x0000_s1027" style="position:absolute;left:7176;top:4320;width:3624;height:3147" coordorigin="6798,4320" coordsize="3624,314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702;top:6639;width:720;height:432" filled="f" stroked="f">
                <v:textbox style="mso-next-textbox:#_x0000_s1028">
                  <w:txbxContent>
                    <w:p w:rsidR="007255C1" w:rsidRDefault="007255C1" w:rsidP="007255C1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  <v:shape id="_x0000_s1029" type="#_x0000_t202" style="position:absolute;left:8784;top:7035;width:1008;height:432" filled="f" stroked="f">
                <v:textbox style="mso-next-textbox:#_x0000_s1029">
                  <w:txbxContent>
                    <w:p w:rsidR="007255C1" w:rsidRDefault="007255C1" w:rsidP="007255C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f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ном</w:t>
                      </w:r>
                      <w:proofErr w:type="gramEnd"/>
                    </w:p>
                  </w:txbxContent>
                </v:textbox>
              </v:shape>
              <v:group id="_x0000_s1030" style="position:absolute;left:6891;top:4320;width:3294;height:2736" coordorigin="2592,4320" coordsize="3294,2736">
                <v:line id="_x0000_s1031" style="position:absolute" from="2592,4320" to="2592,7056"/>
                <v:line id="_x0000_s1032" style="position:absolute" from="2592,7056" to="5886,7056"/>
              </v:group>
              <v:shape id="_x0000_s1033" style="position:absolute;left:7641;top:4464;width:2007;height:1786;flip:x" coordsize="1440,2352" path="m,2016v168,168,336,336,576,c816,1680,1128,840,1440,e" filled="f" strokeweight="1.5pt">
                <v:path arrowok="t"/>
              </v:shape>
              <v:shape id="_x0000_s1034" style="position:absolute;left:8200;top:5660;width:2024;height:777;rotation:-1367941fd" coordsize="2592,1344" path="m,1152v72,96,144,192,576,c1008,960,2256,192,2592,e" filled="f" strokeweight="1.5pt">
                <v:path arrowok="t"/>
              </v:shape>
              <v:shape id="_x0000_s1035" type="#_x0000_t202" style="position:absolute;left:6798;top:4320;width:864;height:432" filled="f" stroked="f">
                <v:textbox style="mso-next-textbox:#_x0000_s1035">
                  <w:txbxContent>
                    <w:p w:rsidR="007255C1" w:rsidRDefault="007255C1" w:rsidP="007255C1">
                      <w:pPr>
                        <w:rPr>
                          <w:i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r>
                        <w:rPr>
                          <w:sz w:val="24"/>
                          <w:lang w:val="en-US"/>
                        </w:rPr>
                        <w:t xml:space="preserve">,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</w:p>
                  </w:txbxContent>
                </v:textbox>
              </v:shape>
              <v:line id="_x0000_s1036" style="position:absolute" from="9186,6138" to="9186,7039">
                <v:stroke dashstyle="dash"/>
              </v:line>
              <v:shape id="_x0000_s1037" type="#_x0000_t202" style="position:absolute;left:7449;top:5040;width:720;height:432" filled="f" stroked="f">
                <v:textbox>
                  <w:txbxContent>
                    <w:p w:rsidR="007255C1" w:rsidRDefault="007255C1" w:rsidP="007255C1">
                      <w:pPr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п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9360;top:5040;width:720;height:576" filled="f" stroked="f">
                <v:textbox>
                  <w:txbxContent>
                    <w:p w:rsidR="007255C1" w:rsidRDefault="007255C1" w:rsidP="007255C1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п</w:t>
                      </w:r>
                      <w:proofErr w:type="spellEnd"/>
                    </w:p>
                  </w:txbxContent>
                </v:textbox>
              </v:shape>
            </v:group>
            <v:group id="_x0000_s1039" style="position:absolute;left:2304;top:4320;width:3714;height:3147" coordorigin="1584,4320" coordsize="3714,3147">
              <v:group id="_x0000_s1040" style="position:absolute;left:1584;top:4320;width:3714;height:3147" coordorigin="2805,4320" coordsize="3714,3147">
                <v:group id="_x0000_s1041" style="position:absolute;left:2898;top:4320;width:3294;height:2736" coordorigin="2592,4320" coordsize="3294,2736">
                  <v:line id="_x0000_s1042" style="position:absolute" from="2592,4320" to="2592,7056"/>
                  <v:line id="_x0000_s1043" style="position:absolute" from="2592,7056" to="5886,7056"/>
                </v:group>
                <v:shape id="_x0000_s1044" style="position:absolute;left:3168;top:4605;width:2007;height:2352" coordsize="1440,2352" path="m,2016v168,168,336,336,576,c816,1680,1128,840,1440,e" filled="f" strokeweight="1.5pt">
                  <v:path arrowok="t"/>
                </v:shape>
                <v:rect id="_x0000_s1045" style="position:absolute;left:3159;top:6336;width:408;height:576" stroked="f"/>
                <v:shape id="_x0000_s1046" style="position:absolute;left:3456;top:4983;width:2592;height:777;rotation:355" coordsize="2592,1344" path="m,1152v72,96,144,192,576,c1008,960,2256,192,2592,e" filled="f" strokeweight="1.5pt">
                  <v:path arrowok="t"/>
                </v:shape>
                <v:shape id="_x0000_s1047" type="#_x0000_t202" style="position:absolute;left:2805;top:4320;width:864;height:432" filled="f" stroked="f">
                  <v:textbox>
                    <w:txbxContent>
                      <w:p w:rsidR="007255C1" w:rsidRDefault="007255C1" w:rsidP="007255C1">
                        <w:pPr>
                          <w:rPr>
                            <w:i/>
                            <w:sz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P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_x0000_s1048" type="#_x0000_t202" style="position:absolute;left:5799;top:6639;width:720;height:432" filled="f" stroked="f">
                  <v:textbox>
                    <w:txbxContent>
                      <w:p w:rsidR="007255C1" w:rsidRDefault="007255C1" w:rsidP="007255C1">
                        <w:pPr>
                          <w:rPr>
                            <w:i/>
                            <w:sz w:val="24"/>
                            <w:lang w:val="en-US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line id="_x0000_s1049" style="position:absolute" from="4737,5412" to="4737,7050">
                  <v:stroke dashstyle="dash"/>
                </v:line>
                <v:shape id="_x0000_s1050" type="#_x0000_t202" style="position:absolute;left:4236;top:7035;width:1008;height:432" filled="f" stroked="f">
                  <v:textbox>
                    <w:txbxContent>
                      <w:p w:rsidR="007255C1" w:rsidRDefault="007255C1" w:rsidP="007255C1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U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ном</w:t>
                        </w:r>
                      </w:p>
                    </w:txbxContent>
                  </v:textbox>
                </v:shape>
              </v:group>
              <v:shape id="_x0000_s1051" type="#_x0000_t202" style="position:absolute;left:2160;top:6192;width:720;height:432" filled="f" stroked="f">
                <v:textbox>
                  <w:txbxContent>
                    <w:p w:rsidR="007255C1" w:rsidRDefault="007255C1" w:rsidP="007255C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п</w:t>
                      </w:r>
                      <w:proofErr w:type="spellEnd"/>
                    </w:p>
                  </w:txbxContent>
                </v:textbox>
              </v:shape>
              <v:shape id="_x0000_s1052" type="#_x0000_t202" style="position:absolute;left:3327;top:4464;width:720;height:432" filled="f" stroked="f">
                <v:textbox>
                  <w:txbxContent>
                    <w:p w:rsidR="007255C1" w:rsidRDefault="007255C1" w:rsidP="007255C1">
                      <w:pPr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п</w:t>
                      </w:r>
                      <w:proofErr w:type="spellEnd"/>
                    </w:p>
                  </w:txbxContent>
                </v:textbox>
              </v:shape>
            </v:group>
            <v:shape id="_x0000_s1053" type="#_x0000_t202" style="position:absolute;left:3456;top:7632;width:864;height:576" filled="f" stroked="f">
              <v:textbox>
                <w:txbxContent>
                  <w:p w:rsidR="007255C1" w:rsidRDefault="007255C1" w:rsidP="007255C1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а)</w:t>
                    </w:r>
                  </w:p>
                </w:txbxContent>
              </v:textbox>
            </v:shape>
            <v:shape id="_x0000_s1054" type="#_x0000_t202" style="position:absolute;left:8352;top:7632;width:1008;height:576" filled="f" stroked="f">
              <v:textbox>
                <w:txbxContent>
                  <w:p w:rsidR="007255C1" w:rsidRDefault="007255C1" w:rsidP="007255C1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б)</w:t>
                    </w:r>
                  </w:p>
                </w:txbxContent>
              </v:textbox>
            </v:shape>
            <v:shape id="_x0000_s1055" type="#_x0000_t202" style="position:absolute;left:2016;top:8640;width:8784;height:1296" filled="f" stroked="f">
              <v:textbox>
                <w:txbxContent>
                  <w:p w:rsidR="007255C1" w:rsidRDefault="007255C1" w:rsidP="007255C1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14.1 – Статические характеристики мощности:</w:t>
                    </w:r>
                  </w:p>
                  <w:p w:rsidR="007255C1" w:rsidRDefault="007255C1" w:rsidP="007255C1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         а) по напряжению;</w:t>
                    </w:r>
                  </w:p>
                  <w:p w:rsidR="007255C1" w:rsidRDefault="007255C1" w:rsidP="007255C1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         б) по частоте.</w:t>
                    </w:r>
                  </w:p>
                </w:txbxContent>
              </v:textbox>
            </v:shape>
            <w10:wrap type="topAndBottom"/>
          </v:group>
        </w:pic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Проанализируем величины производных </w:t>
      </w:r>
      <w:r>
        <w:rPr>
          <w:position w:val="-28"/>
          <w:lang w:val="ru-RU"/>
        </w:rPr>
        <w:object w:dxaOrig="1340" w:dyaOrig="720">
          <v:shape id="_x0000_i1035" type="#_x0000_t75" style="width:66.75pt;height:36pt" o:ole="" fillcolor="window">
            <v:imagedata r:id="rId25" o:title=""/>
          </v:shape>
          <o:OLEObject Type="Embed" ProgID="Equation.3" ShapeID="_x0000_i1035" DrawAspect="Content" ObjectID="_1634144902" r:id="rId26"/>
        </w:object>
      </w:r>
      <w:r>
        <w:rPr>
          <w:lang w:val="ru-RU"/>
        </w:rPr>
        <w:t xml:space="preserve"> </w:t>
      </w:r>
      <w:r>
        <w:rPr>
          <w:position w:val="-28"/>
          <w:lang w:val="ru-RU"/>
        </w:rPr>
        <w:object w:dxaOrig="1380" w:dyaOrig="720">
          <v:shape id="_x0000_i1036" type="#_x0000_t75" style="width:69pt;height:36pt" o:ole="" fillcolor="window">
            <v:imagedata r:id="rId27" o:title=""/>
          </v:shape>
          <o:OLEObject Type="Embed" ProgID="Equation.3" ShapeID="_x0000_i1036" DrawAspect="Content" ObjectID="_1634144903" r:id="rId28"/>
        </w:object>
      </w:r>
      <w:r>
        <w:rPr>
          <w:lang w:val="ru-RU"/>
        </w:rPr>
        <w:t xml:space="preserve"> </w:t>
      </w:r>
      <w:r>
        <w:rPr>
          <w:position w:val="-32"/>
          <w:lang w:val="ru-RU"/>
        </w:rPr>
        <w:object w:dxaOrig="1259" w:dyaOrig="760">
          <v:shape id="_x0000_i1037" type="#_x0000_t75" style="width:63pt;height:38.25pt" o:ole="" fillcolor="window">
            <v:imagedata r:id="rId29" o:title=""/>
          </v:shape>
          <o:OLEObject Type="Embed" ProgID="Equation.3" ShapeID="_x0000_i1037" DrawAspect="Content" ObjectID="_1634144904" r:id="rId30"/>
        </w:object>
      </w:r>
      <w:r>
        <w:rPr>
          <w:lang w:val="ru-RU"/>
        </w:rPr>
        <w:t xml:space="preserve"> и </w:t>
      </w:r>
      <w:r>
        <w:rPr>
          <w:position w:val="-32"/>
          <w:lang w:val="ru-RU"/>
        </w:rPr>
        <w:object w:dxaOrig="1300" w:dyaOrig="760">
          <v:shape id="_x0000_i1038" type="#_x0000_t75" style="width:65.25pt;height:38.25pt" o:ole="" fillcolor="window">
            <v:imagedata r:id="rId31" o:title=""/>
          </v:shape>
          <o:OLEObject Type="Embed" ProgID="Equation.3" ShapeID="_x0000_i1038" DrawAspect="Content" ObjectID="_1634144905" r:id="rId32"/>
        </w:object>
      </w:r>
      <w:r>
        <w:rPr>
          <w:lang w:val="ru-RU"/>
        </w:rPr>
        <w:t xml:space="preserve"> при незначительных изменениях напряжения и частоты в окрестностях точки (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>ном</w:t>
      </w:r>
      <w:r>
        <w:rPr>
          <w:lang w:val="ru-RU"/>
        </w:rPr>
        <w:t xml:space="preserve">, </w:t>
      </w:r>
      <w:r>
        <w:rPr>
          <w:i/>
          <w:lang w:val="en-US"/>
        </w:rPr>
        <w:t>f</w:t>
      </w:r>
      <w:r>
        <w:rPr>
          <w:vertAlign w:val="subscript"/>
          <w:lang w:val="ru-RU"/>
        </w:rPr>
        <w:t>ном</w:t>
      </w:r>
      <w:r>
        <w:rPr>
          <w:lang w:val="ru-RU"/>
        </w:rPr>
        <w:t>):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center"/>
        <w:rPr>
          <w:lang w:val="ru-RU"/>
        </w:rPr>
      </w:pPr>
      <w:r>
        <w:rPr>
          <w:position w:val="-28"/>
          <w:lang w:val="ru-RU"/>
        </w:rPr>
        <w:object w:dxaOrig="1740" w:dyaOrig="720">
          <v:shape id="_x0000_i1039" type="#_x0000_t75" style="width:87pt;height:36pt" o:ole="" fillcolor="window">
            <v:imagedata r:id="rId33" o:title=""/>
          </v:shape>
          <o:OLEObject Type="Embed" ProgID="Equation.3" ShapeID="_x0000_i1039" DrawAspect="Content" ObjectID="_1634144906" r:id="rId34"/>
        </w:object>
      </w:r>
      <w:r>
        <w:rPr>
          <w:lang w:val="ru-RU"/>
        </w:rPr>
        <w:t xml:space="preserve">    </w:t>
      </w:r>
      <w:r>
        <w:rPr>
          <w:position w:val="-28"/>
          <w:lang w:val="ru-RU"/>
        </w:rPr>
        <w:object w:dxaOrig="1760" w:dyaOrig="720">
          <v:shape id="_x0000_i1040" type="#_x0000_t75" style="width:87.75pt;height:36pt" o:ole="" fillcolor="window">
            <v:imagedata r:id="rId35" o:title=""/>
          </v:shape>
          <o:OLEObject Type="Embed" ProgID="Equation.3" ShapeID="_x0000_i1040" DrawAspect="Content" ObjectID="_1634144907" r:id="rId36"/>
        </w:object>
      </w:r>
      <w:r>
        <w:rPr>
          <w:lang w:val="ru-RU"/>
        </w:rPr>
        <w:t xml:space="preserve">    </w:t>
      </w:r>
      <w:r>
        <w:rPr>
          <w:position w:val="-32"/>
          <w:lang w:val="ru-RU"/>
        </w:rPr>
        <w:object w:dxaOrig="1660" w:dyaOrig="760">
          <v:shape id="_x0000_i1041" type="#_x0000_t75" style="width:83.25pt;height:38.25pt" o:ole="" fillcolor="window">
            <v:imagedata r:id="rId37" o:title=""/>
          </v:shape>
          <o:OLEObject Type="Embed" ProgID="Equation.3" ShapeID="_x0000_i1041" DrawAspect="Content" ObjectID="_1634144908" r:id="rId38"/>
        </w:object>
      </w:r>
      <w:r>
        <w:rPr>
          <w:lang w:val="ru-RU"/>
        </w:rPr>
        <w:t xml:space="preserve">    и    </w:t>
      </w:r>
      <w:r>
        <w:rPr>
          <w:position w:val="-32"/>
          <w:lang w:val="ru-RU"/>
        </w:rPr>
        <w:object w:dxaOrig="1699" w:dyaOrig="760">
          <v:shape id="_x0000_i1042" type="#_x0000_t75" style="width:84.75pt;height:38.25pt" o:ole="" fillcolor="window">
            <v:imagedata r:id="rId39" o:title=""/>
          </v:shape>
          <o:OLEObject Type="Embed" ProgID="Equation.3" ShapeID="_x0000_i1042" DrawAspect="Content" ObjectID="_1634144909" r:id="rId40"/>
        </w:object>
      </w:r>
      <w:r>
        <w:rPr>
          <w:lang w:val="ru-RU"/>
        </w:rPr>
        <w:t>.    (14.2)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Исходя из вида статических характеристик, можно записать: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34"/>
          <w:lang w:val="ru-RU"/>
        </w:rPr>
        <w:object w:dxaOrig="3080" w:dyaOrig="820">
          <v:shape id="_x0000_i1043" type="#_x0000_t75" style="width:153.75pt;height:41.25pt" o:ole="" fillcolor="window">
            <v:imagedata r:id="rId41" o:title=""/>
          </v:shape>
          <o:OLEObject Type="Embed" ProgID="Equation.3" ShapeID="_x0000_i1043" DrawAspect="Content" ObjectID="_1634144910" r:id="rId42"/>
        </w:object>
      </w:r>
      <w:r>
        <w:rPr>
          <w:lang w:val="ru-RU"/>
        </w:rPr>
        <w:t xml:space="preserve">    и    </w:t>
      </w:r>
      <w:r>
        <w:rPr>
          <w:position w:val="-34"/>
          <w:lang w:val="ru-RU"/>
        </w:rPr>
        <w:object w:dxaOrig="3060" w:dyaOrig="820">
          <v:shape id="_x0000_i1044" type="#_x0000_t75" style="width:153pt;height:41.25pt" o:ole="" fillcolor="window">
            <v:imagedata r:id="rId43" o:title=""/>
          </v:shape>
          <o:OLEObject Type="Embed" ProgID="Equation.3" ShapeID="_x0000_i1044" DrawAspect="Content" ObjectID="_1634144911" r:id="rId44"/>
        </w:object>
      </w:r>
      <w:r>
        <w:rPr>
          <w:lang w:val="ru-RU"/>
        </w:rPr>
        <w:t xml:space="preserve">          (14.3)</w:t>
      </w:r>
    </w:p>
    <w:p w:rsidR="007255C1" w:rsidRDefault="007255C1" w:rsidP="007255C1">
      <w:pPr>
        <w:pStyle w:val="a5"/>
        <w:jc w:val="center"/>
        <w:rPr>
          <w:lang w:val="ru-RU"/>
        </w:rPr>
      </w:pP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lastRenderedPageBreak/>
        <w:t xml:space="preserve">Предположим, что в первоначальном режиме уравнение баланса выполняется при значениях напряжения и частоты равных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и </w:t>
      </w:r>
      <w:r>
        <w:rPr>
          <w:i/>
          <w:lang w:val="en-US"/>
        </w:rPr>
        <w:t>f</w:t>
      </w:r>
      <w:r>
        <w:rPr>
          <w:vertAlign w:val="subscript"/>
          <w:lang w:val="ru-RU"/>
        </w:rPr>
        <w:t>0</w:t>
      </w:r>
      <w:r>
        <w:rPr>
          <w:lang w:val="ru-RU"/>
        </w:rPr>
        <w:t>: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center"/>
        <w:rPr>
          <w:lang w:val="en-US"/>
        </w:rPr>
      </w:pPr>
      <w:r>
        <w:rPr>
          <w:position w:val="-12"/>
          <w:lang w:val="en-US"/>
        </w:rPr>
        <w:object w:dxaOrig="2720" w:dyaOrig="380">
          <v:shape id="_x0000_i1045" type="#_x0000_t75" style="width:135.75pt;height:18.75pt" o:ole="" fillcolor="window">
            <v:imagedata r:id="rId45" o:title=""/>
          </v:shape>
          <o:OLEObject Type="Embed" ProgID="Equation.3" ShapeID="_x0000_i1045" DrawAspect="Content" ObjectID="_1634144912" r:id="rId46"/>
        </w:object>
      </w:r>
    </w:p>
    <w:p w:rsidR="007255C1" w:rsidRDefault="007255C1" w:rsidP="007255C1">
      <w:pPr>
        <w:pStyle w:val="a5"/>
        <w:jc w:val="right"/>
        <w:rPr>
          <w:lang w:val="en-US"/>
        </w:rPr>
      </w:pPr>
      <w:r>
        <w:rPr>
          <w:lang w:val="en-US"/>
        </w:rPr>
        <w:t>(14.4)</w:t>
      </w:r>
    </w:p>
    <w:p w:rsidR="007255C1" w:rsidRDefault="007255C1" w:rsidP="007255C1">
      <w:pPr>
        <w:pStyle w:val="a5"/>
        <w:jc w:val="center"/>
        <w:rPr>
          <w:lang w:val="en-US"/>
        </w:rPr>
      </w:pPr>
      <w:r>
        <w:rPr>
          <w:position w:val="-12"/>
          <w:lang w:val="en-US"/>
        </w:rPr>
        <w:object w:dxaOrig="2800" w:dyaOrig="380">
          <v:shape id="_x0000_i1046" type="#_x0000_t75" style="width:140.25pt;height:18.75pt" o:ole="" fillcolor="window">
            <v:imagedata r:id="rId47" o:title=""/>
          </v:shape>
          <o:OLEObject Type="Embed" ProgID="Equation.3" ShapeID="_x0000_i1046" DrawAspect="Content" ObjectID="_1634144913" r:id="rId48"/>
        </w:objec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При незначительном изменении мощности источников на величину </w:t>
      </w:r>
      <w:r>
        <w:rPr>
          <w:position w:val="-12"/>
          <w:lang w:val="ru-RU"/>
        </w:rPr>
        <w:object w:dxaOrig="2100" w:dyaOrig="380">
          <v:shape id="_x0000_i1047" type="#_x0000_t75" style="width:105pt;height:18.75pt" o:ole="" fillcolor="window">
            <v:imagedata r:id="rId49" o:title=""/>
          </v:shape>
          <o:OLEObject Type="Embed" ProgID="Equation.3" ShapeID="_x0000_i1047" DrawAspect="Content" ObjectID="_1634144914" r:id="rId50"/>
        </w:object>
      </w:r>
      <w:r>
        <w:rPr>
          <w:lang w:val="ru-RU"/>
        </w:rPr>
        <w:t xml:space="preserve"> изменятся и уравнения баланса.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При разложении в ряд Тейлора функций </w:t>
      </w:r>
      <w:r>
        <w:rPr>
          <w:i/>
          <w:lang w:val="en-US"/>
        </w:rPr>
        <w:t>P</w:t>
      </w:r>
      <w:proofErr w:type="spellStart"/>
      <w:r>
        <w:rPr>
          <w:vertAlign w:val="subscript"/>
          <w:lang w:val="ru-RU"/>
        </w:rPr>
        <w:t>п</w:t>
      </w:r>
      <w:proofErr w:type="spellEnd"/>
      <w:r>
        <w:rPr>
          <w:vertAlign w:val="subscript"/>
          <w:lang w:val="ru-RU"/>
        </w:rPr>
        <w:t xml:space="preserve"> </w:t>
      </w:r>
      <w:r>
        <w:rPr>
          <w:lang w:val="ru-RU"/>
        </w:rPr>
        <w:t>(</w:t>
      </w:r>
      <w:r>
        <w:rPr>
          <w:i/>
          <w:lang w:val="ru-RU"/>
        </w:rPr>
        <w:t>U</w:t>
      </w:r>
      <w:r>
        <w:rPr>
          <w:lang w:val="ru-RU"/>
        </w:rPr>
        <w:t xml:space="preserve">, </w:t>
      </w:r>
      <w:r>
        <w:rPr>
          <w:i/>
          <w:lang w:val="en-US"/>
        </w:rPr>
        <w:t>f</w:t>
      </w:r>
      <w:proofErr w:type="gramStart"/>
      <w:r>
        <w:rPr>
          <w:i/>
          <w:lang w:val="ru-RU"/>
        </w:rPr>
        <w:t xml:space="preserve"> </w:t>
      </w:r>
      <w:r>
        <w:rPr>
          <w:lang w:val="ru-RU"/>
        </w:rPr>
        <w:t>)</w:t>
      </w:r>
      <w:proofErr w:type="gramEnd"/>
      <w:r>
        <w:rPr>
          <w:lang w:val="ru-RU"/>
        </w:rPr>
        <w:t xml:space="preserve"> и </w:t>
      </w:r>
      <w:r>
        <w:rPr>
          <w:i/>
          <w:lang w:val="en-US"/>
        </w:rPr>
        <w:t>Q</w:t>
      </w:r>
      <w:proofErr w:type="spellStart"/>
      <w:r>
        <w:rPr>
          <w:vertAlign w:val="subscript"/>
          <w:lang w:val="ru-RU"/>
        </w:rPr>
        <w:t>п</w:t>
      </w:r>
      <w:proofErr w:type="spellEnd"/>
      <w:r>
        <w:rPr>
          <w:lang w:val="ru-RU"/>
        </w:rPr>
        <w:t xml:space="preserve"> (</w:t>
      </w:r>
      <w:r>
        <w:rPr>
          <w:i/>
          <w:lang w:val="ru-RU"/>
        </w:rPr>
        <w:t>U</w:t>
      </w:r>
      <w:r>
        <w:rPr>
          <w:lang w:val="ru-RU"/>
        </w:rPr>
        <w:t xml:space="preserve">, </w:t>
      </w:r>
      <w:r>
        <w:rPr>
          <w:i/>
          <w:lang w:val="en-US"/>
        </w:rPr>
        <w:t>f</w:t>
      </w:r>
      <w:r>
        <w:rPr>
          <w:i/>
          <w:lang w:val="ru-RU"/>
        </w:rPr>
        <w:t xml:space="preserve"> </w:t>
      </w:r>
      <w:r>
        <w:rPr>
          <w:lang w:val="ru-RU"/>
        </w:rPr>
        <w:t>) в окрестностях точки (</w:t>
      </w:r>
      <w:r>
        <w:rPr>
          <w:i/>
          <w:lang w:val="ru-RU"/>
        </w:rPr>
        <w:t>U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, </w:t>
      </w:r>
      <w:r>
        <w:rPr>
          <w:i/>
          <w:lang w:val="ru-RU"/>
        </w:rPr>
        <w:t>f</w:t>
      </w:r>
      <w:r>
        <w:rPr>
          <w:vertAlign w:val="subscript"/>
          <w:lang w:val="ru-RU"/>
        </w:rPr>
        <w:t xml:space="preserve">0 </w:t>
      </w:r>
      <w:r>
        <w:rPr>
          <w:lang w:val="ru-RU"/>
        </w:rPr>
        <w:t>) при учете только производных первого порядка, получим: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center"/>
        <w:rPr>
          <w:lang w:val="ru-RU"/>
        </w:rPr>
      </w:pPr>
      <w:r>
        <w:rPr>
          <w:position w:val="-32"/>
          <w:lang w:val="ru-RU"/>
        </w:rPr>
        <w:object w:dxaOrig="4540" w:dyaOrig="760">
          <v:shape id="_x0000_i1048" type="#_x0000_t75" style="width:227.25pt;height:38.25pt" o:ole="" fillcolor="window">
            <v:imagedata r:id="rId51" o:title=""/>
          </v:shape>
          <o:OLEObject Type="Embed" ProgID="Equation.3" ShapeID="_x0000_i1048" DrawAspect="Content" ObjectID="_1634144915" r:id="rId52"/>
        </w:object>
      </w: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lang w:val="ru-RU"/>
        </w:rPr>
        <w:t>(14.5)</w:t>
      </w:r>
    </w:p>
    <w:p w:rsidR="007255C1" w:rsidRDefault="007255C1" w:rsidP="007255C1">
      <w:pPr>
        <w:pStyle w:val="a5"/>
        <w:jc w:val="center"/>
        <w:rPr>
          <w:lang w:val="ru-RU"/>
        </w:rPr>
      </w:pPr>
      <w:r>
        <w:rPr>
          <w:position w:val="-32"/>
          <w:lang w:val="ru-RU"/>
        </w:rPr>
        <w:object w:dxaOrig="4560" w:dyaOrig="760">
          <v:shape id="_x0000_i1049" type="#_x0000_t75" style="width:228pt;height:38.25pt" o:ole="" fillcolor="window">
            <v:imagedata r:id="rId53" o:title=""/>
          </v:shape>
          <o:OLEObject Type="Embed" ProgID="Equation.3" ShapeID="_x0000_i1049" DrawAspect="Content" ObjectID="_1634144916" r:id="rId54"/>
        </w:object>
      </w:r>
      <w:r>
        <w:rPr>
          <w:lang w:val="ru-RU"/>
        </w:rPr>
        <w:t>.</w:t>
      </w:r>
    </w:p>
    <w:p w:rsidR="007255C1" w:rsidRDefault="007255C1" w:rsidP="007255C1">
      <w:pPr>
        <w:pStyle w:val="a5"/>
        <w:jc w:val="center"/>
        <w:rPr>
          <w:lang w:val="ru-RU"/>
        </w:rPr>
      </w:pP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Запишем в матричной форме систему (14.5):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74"/>
          <w:lang w:val="ru-RU"/>
        </w:rPr>
        <w:object w:dxaOrig="4600" w:dyaOrig="1620">
          <v:shape id="_x0000_i1050" type="#_x0000_t75" style="width:230.25pt;height:81pt" o:ole="" fillcolor="window">
            <v:imagedata r:id="rId55" o:title=""/>
          </v:shape>
          <o:OLEObject Type="Embed" ProgID="Equation.3" ShapeID="_x0000_i1050" DrawAspect="Content" ObjectID="_1634144917" r:id="rId56"/>
        </w:object>
      </w:r>
      <w:r>
        <w:rPr>
          <w:lang w:val="ru-RU"/>
        </w:rPr>
        <w:t>.                  (14.6)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Решаем уравнение (14.6) относительно приращений </w:t>
      </w:r>
      <w:r>
        <w:rPr>
          <w:position w:val="-12"/>
          <w:lang w:val="ru-RU"/>
        </w:rPr>
        <w:object w:dxaOrig="1040" w:dyaOrig="360">
          <v:shape id="_x0000_i1051" type="#_x0000_t75" style="width:51.75pt;height:18pt" o:ole="" fillcolor="window">
            <v:imagedata r:id="rId57" o:title=""/>
          </v:shape>
          <o:OLEObject Type="Embed" ProgID="Equation.3" ShapeID="_x0000_i1051" DrawAspect="Content" ObjectID="_1634144918" r:id="rId58"/>
        </w:objec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34"/>
          <w:lang w:val="ru-RU"/>
        </w:rPr>
        <w:object w:dxaOrig="5380" w:dyaOrig="820">
          <v:shape id="_x0000_i1052" type="#_x0000_t75" style="width:269.25pt;height:41.25pt" o:ole="" fillcolor="window">
            <v:imagedata r:id="rId59" o:title=""/>
          </v:shape>
          <o:OLEObject Type="Embed" ProgID="Equation.3" ShapeID="_x0000_i1052" DrawAspect="Content" ObjectID="_1634144919" r:id="rId60"/>
        </w:object>
      </w:r>
      <w:r>
        <w:rPr>
          <w:lang w:val="ru-RU"/>
        </w:rPr>
        <w:t xml:space="preserve">              (14.7)</w:t>
      </w:r>
    </w:p>
    <w:p w:rsidR="007255C1" w:rsidRDefault="007255C1" w:rsidP="007255C1">
      <w:pPr>
        <w:pStyle w:val="a5"/>
        <w:jc w:val="right"/>
        <w:rPr>
          <w:lang w:val="ru-RU"/>
        </w:rPr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32"/>
          <w:lang w:val="ru-RU"/>
        </w:rPr>
        <w:object w:dxaOrig="5500" w:dyaOrig="780">
          <v:shape id="_x0000_i1053" type="#_x0000_t75" style="width:275.25pt;height:39pt" o:ole="" fillcolor="window">
            <v:imagedata r:id="rId61" o:title=""/>
          </v:shape>
          <o:OLEObject Type="Embed" ProgID="Equation.3" ShapeID="_x0000_i1053" DrawAspect="Content" ObjectID="_1634144920" r:id="rId62"/>
        </w:object>
      </w:r>
      <w:r>
        <w:rPr>
          <w:lang w:val="ru-RU"/>
        </w:rPr>
        <w:t xml:space="preserve">              (14.8)</w:t>
      </w:r>
    </w:p>
    <w:p w:rsidR="007255C1" w:rsidRDefault="007255C1" w:rsidP="007255C1">
      <w:pPr>
        <w:pStyle w:val="a5"/>
        <w:jc w:val="right"/>
        <w:rPr>
          <w:lang w:val="ru-RU"/>
        </w:rPr>
      </w:pP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где определитель матрицы равен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center"/>
        <w:rPr>
          <w:lang w:val="ru-RU"/>
        </w:rPr>
      </w:pPr>
      <w:r>
        <w:rPr>
          <w:position w:val="-32"/>
          <w:lang w:val="ru-RU"/>
        </w:rPr>
        <w:object w:dxaOrig="6000" w:dyaOrig="760">
          <v:shape id="_x0000_i1054" type="#_x0000_t75" style="width:300pt;height:38.25pt" o:ole="" fillcolor="window">
            <v:imagedata r:id="rId63" o:title=""/>
          </v:shape>
          <o:OLEObject Type="Embed" ProgID="Equation.3" ShapeID="_x0000_i1054" DrawAspect="Content" ObjectID="_1634144921" r:id="rId64"/>
        </w:object>
      </w:r>
    </w:p>
    <w:p w:rsidR="007255C1" w:rsidRDefault="007255C1" w:rsidP="007255C1">
      <w:pPr>
        <w:pStyle w:val="a5"/>
        <w:jc w:val="center"/>
        <w:rPr>
          <w:lang w:val="ru-RU"/>
        </w:rPr>
      </w:pPr>
    </w:p>
    <w:p w:rsidR="007255C1" w:rsidRDefault="007255C1" w:rsidP="007255C1">
      <w:pPr>
        <w:pStyle w:val="a5"/>
      </w:pPr>
      <w:r>
        <w:rPr>
          <w:lang w:val="ru-RU"/>
        </w:rPr>
        <w:t xml:space="preserve">Проанализируем полученное решение с помощью статических характеристик нагрузки. Допустим, что происходит увеличение </w:t>
      </w:r>
      <w:r>
        <w:rPr>
          <w:lang w:val="ru-RU"/>
        </w:rPr>
        <w:lastRenderedPageBreak/>
        <w:t xml:space="preserve">генерируемой активной мощности при неизменной реактивной мощности, т.е. </w:t>
      </w:r>
      <w:r>
        <w:rPr>
          <w:position w:val="-12"/>
        </w:rPr>
        <w:object w:dxaOrig="900" w:dyaOrig="380">
          <v:shape id="_x0000_i1055" type="#_x0000_t75" style="width:45pt;height:18.75pt" o:ole="" fillcolor="window">
            <v:imagedata r:id="rId65" o:title=""/>
          </v:shape>
          <o:OLEObject Type="Embed" ProgID="Equation.3" ShapeID="_x0000_i1055" DrawAspect="Content" ObjectID="_1634144922" r:id="rId66"/>
        </w:object>
      </w:r>
      <w:r>
        <w:t xml:space="preserve"> и </w:t>
      </w:r>
      <w:r>
        <w:rPr>
          <w:position w:val="-12"/>
        </w:rPr>
        <w:object w:dxaOrig="960" w:dyaOrig="380">
          <v:shape id="_x0000_i1056" type="#_x0000_t75" style="width:48pt;height:18.75pt" o:ole="" fillcolor="window">
            <v:imagedata r:id="rId67" o:title=""/>
          </v:shape>
          <o:OLEObject Type="Embed" ProgID="Equation.3" ShapeID="_x0000_i1056" DrawAspect="Content" ObjectID="_1634144923" r:id="rId68"/>
        </w:object>
      </w:r>
      <w:r>
        <w:t xml:space="preserve">.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уравнеия</w:t>
      </w:r>
      <w:proofErr w:type="spellEnd"/>
      <w:r>
        <w:t xml:space="preserve"> (14.7) и (1</w:t>
      </w:r>
      <w:r>
        <w:rPr>
          <w:lang w:val="ru-RU"/>
        </w:rPr>
        <w:t>4</w:t>
      </w:r>
      <w:r>
        <w:t xml:space="preserve">.8) </w:t>
      </w:r>
      <w:proofErr w:type="spellStart"/>
      <w:r>
        <w:t>имеют</w:t>
      </w:r>
      <w:proofErr w:type="spellEnd"/>
      <w:r>
        <w:t xml:space="preserve"> вид:</w:t>
      </w:r>
    </w:p>
    <w:p w:rsidR="007255C1" w:rsidRDefault="007255C1" w:rsidP="007255C1">
      <w:pPr>
        <w:pStyle w:val="a5"/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32"/>
          <w:lang w:val="ru-RU"/>
        </w:rPr>
        <w:object w:dxaOrig="3000" w:dyaOrig="760">
          <v:shape id="_x0000_i1057" type="#_x0000_t75" style="width:150pt;height:38.25pt" o:ole="" fillcolor="window">
            <v:imagedata r:id="rId69" o:title=""/>
          </v:shape>
          <o:OLEObject Type="Embed" ProgID="Equation.3" ShapeID="_x0000_i1057" DrawAspect="Content" ObjectID="_1634144924" r:id="rId70"/>
        </w:object>
      </w:r>
      <w:r>
        <w:rPr>
          <w:lang w:val="ru-RU"/>
        </w:rPr>
        <w:t xml:space="preserve">                                          (14.9)</w:t>
      </w:r>
    </w:p>
    <w:p w:rsidR="007255C1" w:rsidRDefault="007255C1" w:rsidP="007255C1">
      <w:pPr>
        <w:pStyle w:val="a5"/>
        <w:jc w:val="right"/>
        <w:rPr>
          <w:lang w:val="ru-RU"/>
        </w:rPr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28"/>
          <w:lang w:val="ru-RU"/>
        </w:rPr>
        <w:object w:dxaOrig="3000" w:dyaOrig="720">
          <v:shape id="_x0000_i1058" type="#_x0000_t75" style="width:150pt;height:36pt" o:ole="" fillcolor="window">
            <v:imagedata r:id="rId71" o:title=""/>
          </v:shape>
          <o:OLEObject Type="Embed" ProgID="Equation.3" ShapeID="_x0000_i1058" DrawAspect="Content" ObjectID="_1634144925" r:id="rId72"/>
        </w:object>
      </w:r>
      <w:r>
        <w:rPr>
          <w:lang w:val="ru-RU"/>
        </w:rPr>
        <w:t>.                                        (14.10)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Проанализируем полученное решение. Учитывая знаки производных (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 xml:space="preserve">. формулы (14.2)), значение определителя будет отрицательным – </w:t>
      </w:r>
      <w:r>
        <w:rPr>
          <w:position w:val="-6"/>
          <w:lang w:val="ru-RU"/>
        </w:rPr>
        <w:object w:dxaOrig="660" w:dyaOrig="300">
          <v:shape id="_x0000_i1059" type="#_x0000_t75" style="width:33pt;height:15pt" o:ole="" fillcolor="window">
            <v:imagedata r:id="rId73" o:title=""/>
          </v:shape>
          <o:OLEObject Type="Embed" ProgID="Equation.3" ShapeID="_x0000_i1059" DrawAspect="Content" ObjectID="_1634144926" r:id="rId74"/>
        </w:object>
      </w:r>
      <w:r>
        <w:rPr>
          <w:lang w:val="ru-RU"/>
        </w:rPr>
        <w:t>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Так как 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center"/>
        <w:rPr>
          <w:lang w:val="ru-RU"/>
        </w:rPr>
      </w:pPr>
      <w:r>
        <w:rPr>
          <w:position w:val="-28"/>
          <w:lang w:val="ru-RU"/>
        </w:rPr>
        <w:object w:dxaOrig="1700" w:dyaOrig="720">
          <v:shape id="_x0000_i1060" type="#_x0000_t75" style="width:84.75pt;height:36pt" o:ole="" fillcolor="window">
            <v:imagedata r:id="rId75" o:title=""/>
          </v:shape>
          <o:OLEObject Type="Embed" ProgID="Equation.3" ShapeID="_x0000_i1060" DrawAspect="Content" ObjectID="_1634144927" r:id="rId76"/>
        </w:object>
      </w:r>
      <w:r>
        <w:rPr>
          <w:lang w:val="ru-RU"/>
        </w:rPr>
        <w:t xml:space="preserve">,   </w:t>
      </w:r>
      <w:r>
        <w:rPr>
          <w:position w:val="-32"/>
          <w:lang w:val="ru-RU"/>
        </w:rPr>
        <w:object w:dxaOrig="1699" w:dyaOrig="760">
          <v:shape id="_x0000_i1061" type="#_x0000_t75" style="width:84.75pt;height:38.25pt" o:ole="" fillcolor="window">
            <v:imagedata r:id="rId77" o:title=""/>
          </v:shape>
          <o:OLEObject Type="Embed" ProgID="Equation.3" ShapeID="_x0000_i1061" DrawAspect="Content" ObjectID="_1634144928" r:id="rId78"/>
        </w:object>
      </w:r>
      <w:r>
        <w:rPr>
          <w:lang w:val="ru-RU"/>
        </w:rPr>
        <w:t>,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ind w:firstLine="0"/>
        <w:rPr>
          <w:lang w:val="ru-RU"/>
        </w:rPr>
      </w:pPr>
      <w:r>
        <w:rPr>
          <w:lang w:val="ru-RU"/>
        </w:rPr>
        <w:t>то приращения напряжения и частоты будут положительными</w:t>
      </w:r>
      <w:proofErr w:type="gramStart"/>
      <w:r>
        <w:rPr>
          <w:lang w:val="ru-RU"/>
        </w:rPr>
        <w:t xml:space="preserve"> (</w:t>
      </w:r>
      <w:r>
        <w:rPr>
          <w:position w:val="-6"/>
          <w:lang w:val="ru-RU"/>
        </w:rPr>
        <w:object w:dxaOrig="900" w:dyaOrig="300">
          <v:shape id="_x0000_i1062" type="#_x0000_t75" style="width:45pt;height:15pt" o:ole="" fillcolor="window">
            <v:imagedata r:id="rId79" o:title=""/>
          </v:shape>
          <o:OLEObject Type="Embed" ProgID="Equation.3" ShapeID="_x0000_i1062" DrawAspect="Content" ObjectID="_1634144929" r:id="rId80"/>
        </w:object>
      </w:r>
      <w:r>
        <w:rPr>
          <w:lang w:val="ru-RU"/>
        </w:rPr>
        <w:t xml:space="preserve">, </w:t>
      </w:r>
      <w:r>
        <w:rPr>
          <w:position w:val="-12"/>
          <w:lang w:val="ru-RU"/>
        </w:rPr>
        <w:object w:dxaOrig="800" w:dyaOrig="360">
          <v:shape id="_x0000_i1063" type="#_x0000_t75" style="width:39.75pt;height:18pt" o:ole="" fillcolor="window">
            <v:imagedata r:id="rId81" o:title=""/>
          </v:shape>
          <o:OLEObject Type="Embed" ProgID="Equation.3" ShapeID="_x0000_i1063" DrawAspect="Content" ObjectID="_1634144930" r:id="rId82"/>
        </w:object>
      </w:r>
      <w:r>
        <w:rPr>
          <w:lang w:val="ru-RU"/>
        </w:rPr>
        <w:t>).</w:t>
      </w:r>
      <w:proofErr w:type="gramEnd"/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Согласно (14.3),</w:t>
      </w:r>
    </w:p>
    <w:p w:rsidR="007255C1" w:rsidRDefault="007255C1" w:rsidP="007255C1">
      <w:pPr>
        <w:pStyle w:val="a5"/>
        <w:rPr>
          <w:lang w:val="ru-RU"/>
        </w:rPr>
      </w:pPr>
    </w:p>
    <w:p w:rsidR="007255C1" w:rsidRDefault="007255C1" w:rsidP="007255C1">
      <w:pPr>
        <w:pStyle w:val="a5"/>
        <w:jc w:val="center"/>
        <w:rPr>
          <w:lang w:val="ru-RU"/>
        </w:rPr>
      </w:pPr>
      <w:r>
        <w:rPr>
          <w:position w:val="-34"/>
          <w:lang w:val="ru-RU"/>
        </w:rPr>
        <w:object w:dxaOrig="3080" w:dyaOrig="820">
          <v:shape id="_x0000_i1064" type="#_x0000_t75" style="width:153.75pt;height:41.25pt" o:ole="" fillcolor="window">
            <v:imagedata r:id="rId41" o:title=""/>
          </v:shape>
          <o:OLEObject Type="Embed" ProgID="Equation.3" ShapeID="_x0000_i1064" DrawAspect="Content" ObjectID="_1634144931" r:id="rId83"/>
        </w:object>
      </w:r>
      <w:r>
        <w:rPr>
          <w:lang w:val="ru-RU"/>
        </w:rPr>
        <w:t>.</w:t>
      </w:r>
    </w:p>
    <w:p w:rsidR="007255C1" w:rsidRDefault="007255C1" w:rsidP="007255C1">
      <w:pPr>
        <w:pStyle w:val="a5"/>
        <w:jc w:val="center"/>
        <w:rPr>
          <w:lang w:val="ru-RU"/>
        </w:rPr>
      </w:pPr>
    </w:p>
    <w:p w:rsidR="007255C1" w:rsidRDefault="007255C1" w:rsidP="007255C1">
      <w:pPr>
        <w:pStyle w:val="a5"/>
        <w:jc w:val="left"/>
        <w:rPr>
          <w:lang w:val="ru-RU"/>
        </w:rPr>
      </w:pPr>
      <w:r>
        <w:rPr>
          <w:lang w:val="ru-RU"/>
        </w:rPr>
        <w:t>Поэтому частота увеличивается в большей степени, чем напряжение.</w:t>
      </w:r>
    </w:p>
    <w:p w:rsidR="007255C1" w:rsidRDefault="007255C1" w:rsidP="007255C1">
      <w:pPr>
        <w:pStyle w:val="a5"/>
      </w:pPr>
      <w:r>
        <w:rPr>
          <w:lang w:val="ru-RU"/>
        </w:rPr>
        <w:t xml:space="preserve">Анализируем дальше. Происходит увеличение генерируемой реактивной мощности при неизменной активной мощности, т.е. </w:t>
      </w:r>
      <w:r>
        <w:rPr>
          <w:position w:val="-12"/>
        </w:rPr>
        <w:object w:dxaOrig="960" w:dyaOrig="380">
          <v:shape id="_x0000_i1065" type="#_x0000_t75" style="width:48pt;height:18.75pt" o:ole="" fillcolor="window">
            <v:imagedata r:id="rId84" o:title=""/>
          </v:shape>
          <o:OLEObject Type="Embed" ProgID="Equation.3" ShapeID="_x0000_i1065" DrawAspect="Content" ObjectID="_1634144932" r:id="rId85"/>
        </w:object>
      </w:r>
      <w:r>
        <w:t xml:space="preserve"> и </w:t>
      </w:r>
      <w:r>
        <w:rPr>
          <w:position w:val="-12"/>
        </w:rPr>
        <w:object w:dxaOrig="900" w:dyaOrig="380">
          <v:shape id="_x0000_i1066" type="#_x0000_t75" style="width:45pt;height:18.75pt" o:ole="" fillcolor="window">
            <v:imagedata r:id="rId86" o:title=""/>
          </v:shape>
          <o:OLEObject Type="Embed" ProgID="Equation.3" ShapeID="_x0000_i1066" DrawAspect="Content" ObjectID="_1634144933" r:id="rId87"/>
        </w:object>
      </w:r>
      <w:r>
        <w:t xml:space="preserve">.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уравнеия</w:t>
      </w:r>
      <w:proofErr w:type="spellEnd"/>
      <w:r>
        <w:t xml:space="preserve"> (14.7) и (14.8) </w:t>
      </w:r>
      <w:proofErr w:type="spellStart"/>
      <w:r>
        <w:t>имеют</w:t>
      </w:r>
      <w:proofErr w:type="spellEnd"/>
      <w:r>
        <w:t xml:space="preserve"> вид:</w:t>
      </w:r>
    </w:p>
    <w:p w:rsidR="007255C1" w:rsidRDefault="007255C1" w:rsidP="007255C1">
      <w:pPr>
        <w:pStyle w:val="a5"/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32"/>
          <w:lang w:val="ru-RU"/>
        </w:rPr>
        <w:object w:dxaOrig="3220" w:dyaOrig="760">
          <v:shape id="_x0000_i1067" type="#_x0000_t75" style="width:161.25pt;height:38.25pt" o:ole="" fillcolor="window">
            <v:imagedata r:id="rId88" o:title=""/>
          </v:shape>
          <o:OLEObject Type="Embed" ProgID="Equation.3" ShapeID="_x0000_i1067" DrawAspect="Content" ObjectID="_1634144934" r:id="rId89"/>
        </w:object>
      </w:r>
      <w:r>
        <w:rPr>
          <w:lang w:val="ru-RU"/>
        </w:rPr>
        <w:t xml:space="preserve">                                          (14.11)</w:t>
      </w:r>
    </w:p>
    <w:p w:rsidR="007255C1" w:rsidRDefault="007255C1" w:rsidP="007255C1">
      <w:pPr>
        <w:pStyle w:val="a5"/>
        <w:jc w:val="right"/>
        <w:rPr>
          <w:lang w:val="ru-RU"/>
        </w:rPr>
      </w:pPr>
    </w:p>
    <w:p w:rsidR="007255C1" w:rsidRDefault="007255C1" w:rsidP="007255C1">
      <w:pPr>
        <w:pStyle w:val="a5"/>
        <w:jc w:val="right"/>
        <w:rPr>
          <w:lang w:val="ru-RU"/>
        </w:rPr>
      </w:pPr>
      <w:r>
        <w:rPr>
          <w:position w:val="-28"/>
          <w:lang w:val="ru-RU"/>
        </w:rPr>
        <w:object w:dxaOrig="3040" w:dyaOrig="720">
          <v:shape id="_x0000_i1068" type="#_x0000_t75" style="width:152.25pt;height:36pt" o:ole="" fillcolor="window">
            <v:imagedata r:id="rId90" o:title=""/>
          </v:shape>
          <o:OLEObject Type="Embed" ProgID="Equation.3" ShapeID="_x0000_i1068" DrawAspect="Content" ObjectID="_1634144935" r:id="rId91"/>
        </w:object>
      </w:r>
      <w:r>
        <w:rPr>
          <w:lang w:val="ru-RU"/>
        </w:rPr>
        <w:t>.                                        (14.12)</w:t>
      </w:r>
    </w:p>
    <w:p w:rsidR="007255C1" w:rsidRDefault="007255C1" w:rsidP="007255C1">
      <w:pPr>
        <w:pStyle w:val="a5"/>
        <w:jc w:val="left"/>
        <w:rPr>
          <w:lang w:val="ru-RU"/>
        </w:rPr>
      </w:pP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Так как </w:t>
      </w:r>
      <w:r>
        <w:rPr>
          <w:position w:val="-6"/>
          <w:lang w:val="ru-RU"/>
        </w:rPr>
        <w:object w:dxaOrig="660" w:dyaOrig="300">
          <v:shape id="_x0000_i1069" type="#_x0000_t75" style="width:33pt;height:15pt" o:ole="" fillcolor="window">
            <v:imagedata r:id="rId73" o:title=""/>
          </v:shape>
          <o:OLEObject Type="Embed" ProgID="Equation.3" ShapeID="_x0000_i1069" DrawAspect="Content" ObjectID="_1634144936" r:id="rId92"/>
        </w:object>
      </w:r>
      <w:r>
        <w:rPr>
          <w:lang w:val="ru-RU"/>
        </w:rPr>
        <w:t xml:space="preserve">, </w:t>
      </w:r>
      <w:r>
        <w:rPr>
          <w:position w:val="-28"/>
          <w:lang w:val="ru-RU"/>
        </w:rPr>
        <w:object w:dxaOrig="1740" w:dyaOrig="720">
          <v:shape id="_x0000_i1070" type="#_x0000_t75" style="width:87pt;height:36pt" o:ole="" fillcolor="window">
            <v:imagedata r:id="rId93" o:title=""/>
          </v:shape>
          <o:OLEObject Type="Embed" ProgID="Equation.3" ShapeID="_x0000_i1070" DrawAspect="Content" ObjectID="_1634144937" r:id="rId94"/>
        </w:object>
      </w:r>
      <w:r>
        <w:rPr>
          <w:lang w:val="ru-RU"/>
        </w:rPr>
        <w:t xml:space="preserve"> </w:t>
      </w:r>
      <w:r>
        <w:rPr>
          <w:position w:val="-32"/>
          <w:lang w:val="ru-RU"/>
        </w:rPr>
        <w:object w:dxaOrig="1660" w:dyaOrig="760">
          <v:shape id="_x0000_i1071" type="#_x0000_t75" style="width:83.25pt;height:38.25pt" o:ole="" fillcolor="window">
            <v:imagedata r:id="rId37" o:title=""/>
          </v:shape>
          <o:OLEObject Type="Embed" ProgID="Equation.3" ShapeID="_x0000_i1071" DrawAspect="Content" ObjectID="_1634144938" r:id="rId95"/>
        </w:object>
      </w:r>
      <w:r>
        <w:rPr>
          <w:lang w:val="ru-RU"/>
        </w:rPr>
        <w:t xml:space="preserve">, то приращение </w:t>
      </w:r>
      <w:r>
        <w:rPr>
          <w:position w:val="-6"/>
          <w:lang w:val="ru-RU"/>
        </w:rPr>
        <w:object w:dxaOrig="900" w:dyaOrig="300">
          <v:shape id="_x0000_i1072" type="#_x0000_t75" style="width:45pt;height:15pt" o:ole="" fillcolor="window">
            <v:imagedata r:id="rId79" o:title=""/>
          </v:shape>
          <o:OLEObject Type="Embed" ProgID="Equation.3" ShapeID="_x0000_i1072" DrawAspect="Content" ObjectID="_1634144939" r:id="rId96"/>
        </w:object>
      </w:r>
      <w:r>
        <w:rPr>
          <w:lang w:val="ru-RU"/>
        </w:rPr>
        <w:t xml:space="preserve">, а </w:t>
      </w:r>
      <w:r>
        <w:rPr>
          <w:position w:val="-12"/>
          <w:lang w:val="ru-RU"/>
        </w:rPr>
        <w:object w:dxaOrig="800" w:dyaOrig="360">
          <v:shape id="_x0000_i1073" type="#_x0000_t75" style="width:39.75pt;height:18pt" o:ole="" fillcolor="window">
            <v:imagedata r:id="rId97" o:title=""/>
          </v:shape>
          <o:OLEObject Type="Embed" ProgID="Equation.3" ShapeID="_x0000_i1073" DrawAspect="Content" ObjectID="_1634144940" r:id="rId98"/>
        </w:object>
      </w:r>
      <w:r>
        <w:rPr>
          <w:lang w:val="ru-RU"/>
        </w:rPr>
        <w:t xml:space="preserve">. А поскольку </w:t>
      </w:r>
      <w:r>
        <w:rPr>
          <w:position w:val="-34"/>
          <w:lang w:val="ru-RU"/>
        </w:rPr>
        <w:object w:dxaOrig="3020" w:dyaOrig="820">
          <v:shape id="_x0000_i1074" type="#_x0000_t75" style="width:150.75pt;height:41.25pt" o:ole="" fillcolor="window">
            <v:imagedata r:id="rId99" o:title=""/>
          </v:shape>
          <o:OLEObject Type="Embed" ProgID="Equation.3" ShapeID="_x0000_i1074" DrawAspect="Content" ObjectID="_1634144941" r:id="rId100"/>
        </w:object>
      </w:r>
      <w:r>
        <w:rPr>
          <w:lang w:val="ru-RU"/>
        </w:rPr>
        <w:t xml:space="preserve">, напряжение </w:t>
      </w:r>
      <w:proofErr w:type="gramStart"/>
      <w:r>
        <w:rPr>
          <w:lang w:val="ru-RU"/>
        </w:rPr>
        <w:t>будет</w:t>
      </w:r>
      <w:proofErr w:type="gramEnd"/>
      <w:r>
        <w:rPr>
          <w:lang w:val="ru-RU"/>
        </w:rPr>
        <w:t xml:space="preserve"> увеличивается в большей степени, чем частота.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 xml:space="preserve">Из анализа баланса мощностей в энергосистеме следует, что для регулирования напряжения нужно воздействовать, в первую очередь, на </w:t>
      </w:r>
      <w:r>
        <w:rPr>
          <w:lang w:val="ru-RU"/>
        </w:rPr>
        <w:lastRenderedPageBreak/>
        <w:t>реактивную мощность, а для регулирования частоты нужно изменять активную мощность.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Поэтому в задачу регулирования режима входят подразделы:</w:t>
      </w:r>
    </w:p>
    <w:p w:rsidR="007255C1" w:rsidRDefault="007255C1" w:rsidP="007255C1">
      <w:pPr>
        <w:pStyle w:val="a5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регулирование активной мощности и частоты в энергосистеме;</w:t>
      </w:r>
    </w:p>
    <w:p w:rsidR="007255C1" w:rsidRDefault="007255C1" w:rsidP="007255C1">
      <w:pPr>
        <w:pStyle w:val="a5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регулирование реактивной мощности и напряжения в энергосистеме.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Такое разделение объясняется и физикой процесса производства электроэнергии. Частота тока определяется частотой вращения синхронных машин, которая зависит от соотношения вращающего и тормозного моментов на валу агрегата турбина-генератор. Для изменения их соотношения нужно изменить (увеличить или уменьшить) впуск энергоносителя в турбину. При этом изменяется выработка активной мощности, частота вращения синхронных машин и, как следствие, частота тока в энергосистеме.</w:t>
      </w:r>
    </w:p>
    <w:p w:rsidR="007255C1" w:rsidRDefault="007255C1" w:rsidP="007255C1">
      <w:pPr>
        <w:pStyle w:val="a5"/>
        <w:rPr>
          <w:lang w:val="ru-RU"/>
        </w:rPr>
      </w:pPr>
      <w:r>
        <w:rPr>
          <w:lang w:val="ru-RU"/>
        </w:rPr>
        <w:t>Кроме того следует учитывать, что</w:t>
      </w:r>
    </w:p>
    <w:p w:rsidR="007255C1" w:rsidRDefault="007255C1" w:rsidP="007255C1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к изменению частоты в энергосистеме предъявляются более жесткие требования, чем к изменению напряжения;</w:t>
      </w:r>
    </w:p>
    <w:p w:rsidR="007255C1" w:rsidRDefault="007255C1" w:rsidP="007255C1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для каждой электростанции задается оптимальный график работы;</w:t>
      </w:r>
    </w:p>
    <w:p w:rsidR="007255C1" w:rsidRDefault="007255C1" w:rsidP="007255C1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кроме генераторов существуют дополнительные источники реактивной мощности, которые можно устанавливать в местах более близких к потребителям.</w:t>
      </w:r>
    </w:p>
    <w:p w:rsidR="007255C1" w:rsidRPr="007255C1" w:rsidRDefault="007255C1" w:rsidP="007255C1">
      <w:pPr>
        <w:rPr>
          <w:lang w:val="ru-RU"/>
        </w:rPr>
      </w:pPr>
    </w:p>
    <w:p w:rsidR="00FC7E45" w:rsidRPr="007255C1" w:rsidRDefault="00FC7E45">
      <w:pPr>
        <w:rPr>
          <w:lang w:val="ru-RU"/>
        </w:rPr>
      </w:pPr>
    </w:p>
    <w:sectPr w:rsidR="00FC7E45" w:rsidRPr="007255C1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6451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3EC66EAB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0"/>
    <w:lvlOverride w:ilvl="0"/>
  </w:num>
  <w:num w:numId="2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5C1"/>
    <w:rsid w:val="00181C64"/>
    <w:rsid w:val="007255C1"/>
    <w:rsid w:val="00D3551C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55C1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7255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255C1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7255C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Subtitle"/>
    <w:basedOn w:val="a"/>
    <w:link w:val="a8"/>
    <w:qFormat/>
    <w:rsid w:val="007255C1"/>
    <w:pPr>
      <w:jc w:val="center"/>
    </w:pPr>
    <w:rPr>
      <w:b/>
      <w:i/>
      <w:sz w:val="28"/>
    </w:rPr>
  </w:style>
  <w:style w:type="character" w:customStyle="1" w:styleId="a8">
    <w:name w:val="Подзаголовок Знак"/>
    <w:basedOn w:val="a0"/>
    <w:link w:val="a7"/>
    <w:rsid w:val="007255C1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97" Type="http://schemas.openxmlformats.org/officeDocument/2006/relationships/image" Target="media/image45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2.bin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5503</Characters>
  <Application>Microsoft Office Word</Application>
  <DocSecurity>0</DocSecurity>
  <Lines>45</Lines>
  <Paragraphs>12</Paragraphs>
  <ScaleCrop>false</ScaleCrop>
  <Company>Microsoft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2019-11-01T14:20:00Z</dcterms:created>
  <dcterms:modified xsi:type="dcterms:W3CDTF">2019-11-01T14:21:00Z</dcterms:modified>
</cp:coreProperties>
</file>